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BD43" w14:textId="77777777" w:rsidR="00660D24" w:rsidRPr="002532B4" w:rsidRDefault="00660D24" w:rsidP="00660D24">
      <w:pPr>
        <w:spacing w:after="0" w:line="240" w:lineRule="auto"/>
        <w:ind w:left="360"/>
        <w:jc w:val="center"/>
        <w:rPr>
          <w:b/>
        </w:rPr>
      </w:pPr>
      <w:r w:rsidRPr="002532B4">
        <w:rPr>
          <w:b/>
        </w:rPr>
        <w:t>Standard Operating Procedure</w:t>
      </w:r>
    </w:p>
    <w:p w14:paraId="221821FF" w14:textId="77777777" w:rsidR="00660D24" w:rsidRDefault="00660D24" w:rsidP="00660D24">
      <w:pPr>
        <w:spacing w:after="0" w:line="240" w:lineRule="auto"/>
        <w:ind w:left="360"/>
        <w:jc w:val="center"/>
      </w:pPr>
      <w:r w:rsidRPr="002532B4">
        <w:t>for work with</w:t>
      </w:r>
    </w:p>
    <w:p w14:paraId="672A6659" w14:textId="77777777" w:rsidR="00660D24" w:rsidRDefault="00660D24" w:rsidP="00660D24">
      <w:pPr>
        <w:spacing w:after="0" w:line="240" w:lineRule="auto"/>
        <w:ind w:left="360"/>
        <w:jc w:val="center"/>
      </w:pPr>
    </w:p>
    <w:tbl>
      <w:tblPr>
        <w:tblW w:w="10638" w:type="dxa"/>
        <w:tblInd w:w="360" w:type="dxa"/>
        <w:tblLook w:val="04A0" w:firstRow="1" w:lastRow="0" w:firstColumn="1" w:lastColumn="0" w:noHBand="0" w:noVBand="1"/>
      </w:tblPr>
      <w:tblGrid>
        <w:gridCol w:w="613"/>
        <w:gridCol w:w="449"/>
        <w:gridCol w:w="50"/>
        <w:gridCol w:w="1114"/>
        <w:gridCol w:w="4182"/>
        <w:gridCol w:w="809"/>
        <w:gridCol w:w="179"/>
        <w:gridCol w:w="3242"/>
      </w:tblGrid>
      <w:tr w:rsidR="00660D24" w14:paraId="0A0A1382" w14:textId="77777777" w:rsidTr="006B6569">
        <w:tc>
          <w:tcPr>
            <w:tcW w:w="2226" w:type="dxa"/>
            <w:gridSpan w:val="4"/>
          </w:tcPr>
          <w:p w14:paraId="519EA029" w14:textId="77777777" w:rsidR="00660D24" w:rsidRPr="00181A10" w:rsidRDefault="00660D24" w:rsidP="006B6569">
            <w:pPr>
              <w:spacing w:after="0" w:line="240" w:lineRule="auto"/>
              <w:rPr>
                <w:b/>
              </w:rPr>
            </w:pPr>
            <w:r w:rsidRPr="00181A10">
              <w:rPr>
                <w:b/>
              </w:rPr>
              <w:t>Chemical name/class:</w:t>
            </w:r>
          </w:p>
        </w:tc>
        <w:tc>
          <w:tcPr>
            <w:tcW w:w="4182" w:type="dxa"/>
            <w:tcBorders>
              <w:bottom w:val="single" w:sz="4" w:space="0" w:color="auto"/>
            </w:tcBorders>
          </w:tcPr>
          <w:p w14:paraId="12252D3F" w14:textId="77488802" w:rsidR="00660D24" w:rsidRPr="00181A10" w:rsidRDefault="00660D24" w:rsidP="00660D24">
            <w:pPr>
              <w:spacing w:after="0" w:line="240" w:lineRule="auto"/>
              <w:rPr>
                <w:b/>
              </w:rPr>
            </w:pPr>
            <w:r>
              <w:rPr>
                <w:b/>
              </w:rPr>
              <w:t>Nanomaterials</w:t>
            </w:r>
          </w:p>
        </w:tc>
        <w:tc>
          <w:tcPr>
            <w:tcW w:w="809" w:type="dxa"/>
          </w:tcPr>
          <w:p w14:paraId="2BB93C4B" w14:textId="77777777" w:rsidR="00660D24" w:rsidRPr="00181A10" w:rsidRDefault="00660D24" w:rsidP="006B6569">
            <w:pPr>
              <w:spacing w:after="0" w:line="240" w:lineRule="auto"/>
              <w:rPr>
                <w:b/>
              </w:rPr>
            </w:pPr>
            <w:r w:rsidRPr="00181A10">
              <w:rPr>
                <w:b/>
              </w:rPr>
              <w:t>CAS #:</w:t>
            </w:r>
          </w:p>
        </w:tc>
        <w:tc>
          <w:tcPr>
            <w:tcW w:w="3421" w:type="dxa"/>
            <w:gridSpan w:val="2"/>
            <w:tcBorders>
              <w:bottom w:val="single" w:sz="4" w:space="0" w:color="auto"/>
            </w:tcBorders>
          </w:tcPr>
          <w:p w14:paraId="0A37501D" w14:textId="77777777" w:rsidR="00660D24" w:rsidRPr="00181A10" w:rsidRDefault="00660D24" w:rsidP="006B6569">
            <w:pPr>
              <w:spacing w:after="0" w:line="240" w:lineRule="auto"/>
              <w:rPr>
                <w:b/>
              </w:rPr>
            </w:pPr>
          </w:p>
        </w:tc>
      </w:tr>
      <w:tr w:rsidR="00660D24" w14:paraId="43412CC9" w14:textId="77777777" w:rsidTr="006B6569">
        <w:tc>
          <w:tcPr>
            <w:tcW w:w="613" w:type="dxa"/>
          </w:tcPr>
          <w:p w14:paraId="00412CA9" w14:textId="77777777" w:rsidR="00660D24" w:rsidRPr="00181A10" w:rsidRDefault="00660D24" w:rsidP="006B6569">
            <w:pPr>
              <w:spacing w:after="0" w:line="240" w:lineRule="auto"/>
              <w:rPr>
                <w:b/>
              </w:rPr>
            </w:pPr>
            <w:r w:rsidRPr="00181A10">
              <w:rPr>
                <w:b/>
              </w:rPr>
              <w:t>PI:</w:t>
            </w:r>
          </w:p>
        </w:tc>
        <w:tc>
          <w:tcPr>
            <w:tcW w:w="5795" w:type="dxa"/>
            <w:gridSpan w:val="4"/>
            <w:tcBorders>
              <w:bottom w:val="single" w:sz="4" w:space="0" w:color="auto"/>
            </w:tcBorders>
          </w:tcPr>
          <w:p w14:paraId="5DAB6C7B" w14:textId="77777777" w:rsidR="00660D24" w:rsidRPr="00181A10" w:rsidRDefault="00660D24" w:rsidP="006B6569">
            <w:pPr>
              <w:spacing w:after="0" w:line="240" w:lineRule="auto"/>
              <w:rPr>
                <w:b/>
              </w:rPr>
            </w:pPr>
          </w:p>
        </w:tc>
        <w:tc>
          <w:tcPr>
            <w:tcW w:w="809" w:type="dxa"/>
          </w:tcPr>
          <w:p w14:paraId="3101716D" w14:textId="77777777" w:rsidR="00660D24" w:rsidRPr="00181A10" w:rsidRDefault="00660D24" w:rsidP="006B6569">
            <w:pPr>
              <w:spacing w:after="0" w:line="240" w:lineRule="auto"/>
              <w:rPr>
                <w:b/>
              </w:rPr>
            </w:pPr>
            <w:r w:rsidRPr="00181A10">
              <w:rPr>
                <w:b/>
              </w:rPr>
              <w:t>Date:</w:t>
            </w:r>
          </w:p>
        </w:tc>
        <w:tc>
          <w:tcPr>
            <w:tcW w:w="3421" w:type="dxa"/>
            <w:gridSpan w:val="2"/>
            <w:tcBorders>
              <w:top w:val="single" w:sz="4" w:space="0" w:color="auto"/>
              <w:bottom w:val="single" w:sz="4" w:space="0" w:color="auto"/>
            </w:tcBorders>
          </w:tcPr>
          <w:p w14:paraId="02EB378F" w14:textId="77777777" w:rsidR="00660D24" w:rsidRPr="00181A10" w:rsidRDefault="00660D24" w:rsidP="006B6569">
            <w:pPr>
              <w:spacing w:after="0" w:line="240" w:lineRule="auto"/>
              <w:rPr>
                <w:b/>
              </w:rPr>
            </w:pPr>
          </w:p>
        </w:tc>
      </w:tr>
      <w:tr w:rsidR="00660D24" w14:paraId="22E5AB87" w14:textId="77777777" w:rsidTr="006B6569">
        <w:tc>
          <w:tcPr>
            <w:tcW w:w="1062" w:type="dxa"/>
            <w:gridSpan w:val="2"/>
          </w:tcPr>
          <w:p w14:paraId="2B4D09CB" w14:textId="77777777" w:rsidR="00660D24" w:rsidRPr="00181A10" w:rsidRDefault="00660D24" w:rsidP="006B6569">
            <w:pPr>
              <w:spacing w:after="0" w:line="240" w:lineRule="auto"/>
              <w:rPr>
                <w:b/>
              </w:rPr>
            </w:pPr>
            <w:r w:rsidRPr="00181A10">
              <w:rPr>
                <w:b/>
              </w:rPr>
              <w:t>Building:</w:t>
            </w:r>
          </w:p>
        </w:tc>
        <w:tc>
          <w:tcPr>
            <w:tcW w:w="5346" w:type="dxa"/>
            <w:gridSpan w:val="3"/>
            <w:tcBorders>
              <w:bottom w:val="single" w:sz="4" w:space="0" w:color="auto"/>
            </w:tcBorders>
          </w:tcPr>
          <w:p w14:paraId="6A05A809" w14:textId="77777777" w:rsidR="00660D24" w:rsidRPr="00181A10" w:rsidRDefault="00660D24" w:rsidP="006B6569">
            <w:pPr>
              <w:spacing w:after="0" w:line="240" w:lineRule="auto"/>
              <w:rPr>
                <w:b/>
              </w:rPr>
            </w:pPr>
          </w:p>
        </w:tc>
        <w:tc>
          <w:tcPr>
            <w:tcW w:w="988" w:type="dxa"/>
            <w:gridSpan w:val="2"/>
          </w:tcPr>
          <w:p w14:paraId="4877F64B" w14:textId="77777777" w:rsidR="00660D24" w:rsidRPr="00181A10" w:rsidRDefault="00660D24" w:rsidP="006B6569">
            <w:pPr>
              <w:spacing w:after="0" w:line="240" w:lineRule="auto"/>
              <w:rPr>
                <w:b/>
              </w:rPr>
            </w:pPr>
            <w:r w:rsidRPr="00181A10">
              <w:rPr>
                <w:b/>
              </w:rPr>
              <w:t>Room #:</w:t>
            </w:r>
          </w:p>
        </w:tc>
        <w:tc>
          <w:tcPr>
            <w:tcW w:w="3242" w:type="dxa"/>
            <w:tcBorders>
              <w:top w:val="single" w:sz="4" w:space="0" w:color="auto"/>
              <w:bottom w:val="single" w:sz="4" w:space="0" w:color="auto"/>
            </w:tcBorders>
          </w:tcPr>
          <w:p w14:paraId="5A39BBE3" w14:textId="77777777" w:rsidR="00660D24" w:rsidRPr="00181A10" w:rsidRDefault="00660D24" w:rsidP="006B6569">
            <w:pPr>
              <w:spacing w:after="0" w:line="240" w:lineRule="auto"/>
              <w:rPr>
                <w:b/>
              </w:rPr>
            </w:pPr>
          </w:p>
        </w:tc>
      </w:tr>
      <w:tr w:rsidR="00660D24" w:rsidRPr="002532B4" w14:paraId="3AFFFF82" w14:textId="77777777" w:rsidTr="006B6569">
        <w:tc>
          <w:tcPr>
            <w:tcW w:w="1112" w:type="dxa"/>
            <w:gridSpan w:val="3"/>
          </w:tcPr>
          <w:p w14:paraId="41C8F396" w14:textId="77777777" w:rsidR="00660D24" w:rsidRPr="00401909" w:rsidRDefault="00660D24" w:rsidP="006B6569">
            <w:pPr>
              <w:spacing w:after="0" w:line="240" w:lineRule="auto"/>
              <w:rPr>
                <w:b/>
                <w:highlight w:val="yellow"/>
              </w:rPr>
            </w:pPr>
          </w:p>
        </w:tc>
        <w:tc>
          <w:tcPr>
            <w:tcW w:w="5296" w:type="dxa"/>
            <w:gridSpan w:val="2"/>
            <w:tcBorders>
              <w:top w:val="single" w:sz="4" w:space="0" w:color="auto"/>
            </w:tcBorders>
          </w:tcPr>
          <w:p w14:paraId="02ECD0F4" w14:textId="77777777" w:rsidR="00660D24" w:rsidRPr="00112E6E" w:rsidRDefault="00660D24" w:rsidP="00660D24">
            <w:pPr>
              <w:spacing w:after="0" w:line="240" w:lineRule="auto"/>
              <w:jc w:val="right"/>
              <w:rPr>
                <w:b/>
                <w:color w:val="FF0000"/>
              </w:rPr>
            </w:pPr>
            <w:r w:rsidRPr="008F6A55">
              <w:rPr>
                <w:b/>
              </w:rPr>
              <w:t>Designated Work Area</w:t>
            </w:r>
            <w:r w:rsidRPr="00112E6E">
              <w:rPr>
                <w:b/>
                <w:color w:val="FF0000"/>
              </w:rPr>
              <w:t>:</w:t>
            </w:r>
          </w:p>
        </w:tc>
        <w:tc>
          <w:tcPr>
            <w:tcW w:w="4230" w:type="dxa"/>
            <w:gridSpan w:val="3"/>
            <w:tcBorders>
              <w:bottom w:val="single" w:sz="4" w:space="0" w:color="auto"/>
            </w:tcBorders>
          </w:tcPr>
          <w:p w14:paraId="72A3D3EC" w14:textId="77777777" w:rsidR="00660D24" w:rsidRPr="00112E6E" w:rsidRDefault="00660D24" w:rsidP="006B6569">
            <w:pPr>
              <w:spacing w:after="0" w:line="240" w:lineRule="auto"/>
              <w:rPr>
                <w:b/>
                <w:color w:val="FF0000"/>
              </w:rPr>
            </w:pPr>
          </w:p>
        </w:tc>
      </w:tr>
    </w:tbl>
    <w:p w14:paraId="0D0B940D" w14:textId="77777777" w:rsidR="000E0C95" w:rsidRPr="002532B4" w:rsidRDefault="000E0C95" w:rsidP="000E0C95">
      <w:pPr>
        <w:spacing w:after="0" w:line="240" w:lineRule="auto"/>
      </w:pPr>
    </w:p>
    <w:p w14:paraId="749766AB" w14:textId="77777777" w:rsidR="000E0C95" w:rsidRPr="002532B4" w:rsidRDefault="000E0C95" w:rsidP="000E0C95">
      <w:pPr>
        <w:numPr>
          <w:ilvl w:val="0"/>
          <w:numId w:val="5"/>
        </w:numPr>
        <w:spacing w:after="0" w:line="240" w:lineRule="auto"/>
      </w:pPr>
      <w:r w:rsidRPr="002532B4">
        <w:rPr>
          <w:b/>
          <w:bCs/>
          <w:u w:val="single"/>
        </w:rPr>
        <w:t>Circumstances of Use: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7E5C3CFA" w14:textId="77777777" w:rsidTr="00E904D8">
        <w:tc>
          <w:tcPr>
            <w:tcW w:w="10638" w:type="dxa"/>
          </w:tcPr>
          <w:p w14:paraId="682D7F78" w14:textId="37EB95C7" w:rsidR="000E0C95" w:rsidRPr="00081A79" w:rsidRDefault="000E0C95" w:rsidP="00F93D6F">
            <w:pPr>
              <w:spacing w:after="60" w:line="240" w:lineRule="auto"/>
              <w:rPr>
                <w:bCs/>
                <w:color w:val="FF0000"/>
              </w:rPr>
            </w:pPr>
            <w:r w:rsidRPr="00776272">
              <w:t>Nanomaterials are materials having one or more external dimensions, or an internal structure of 100 nm or less, which could exhibit novel characteristics compared to the same mater</w:t>
            </w:r>
            <w:r>
              <w:t>ial without nanoscale features.</w:t>
            </w:r>
          </w:p>
        </w:tc>
      </w:tr>
    </w:tbl>
    <w:p w14:paraId="29D6B04F" w14:textId="77777777" w:rsidR="000E0C95" w:rsidRPr="002532B4" w:rsidRDefault="000E0C95" w:rsidP="000E0C95">
      <w:pPr>
        <w:spacing w:after="0" w:line="240" w:lineRule="auto"/>
      </w:pPr>
      <w:r w:rsidRPr="002532B4">
        <w:rPr>
          <w:bCs/>
        </w:rPr>
        <w:t xml:space="preserve"> </w:t>
      </w:r>
    </w:p>
    <w:p w14:paraId="45144010" w14:textId="77777777" w:rsidR="000E0C95" w:rsidRPr="002532B4" w:rsidRDefault="000E0C95" w:rsidP="000E0C95">
      <w:pPr>
        <w:numPr>
          <w:ilvl w:val="0"/>
          <w:numId w:val="5"/>
        </w:numPr>
        <w:spacing w:after="0" w:line="240" w:lineRule="auto"/>
      </w:pPr>
      <w:r w:rsidRPr="002532B4">
        <w:rPr>
          <w:b/>
          <w:bCs/>
          <w:u w:val="single"/>
        </w:rPr>
        <w:t>Potential Hazards:</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73872C3F" w14:textId="77777777" w:rsidTr="758656E0">
        <w:tc>
          <w:tcPr>
            <w:tcW w:w="10638" w:type="dxa"/>
          </w:tcPr>
          <w:p w14:paraId="11394BAE" w14:textId="77777777" w:rsidR="000E0C95" w:rsidRPr="0085652D" w:rsidRDefault="000E0C95" w:rsidP="00E904D8">
            <w:pPr>
              <w:spacing w:after="0" w:line="240" w:lineRule="auto"/>
            </w:pPr>
            <w:r w:rsidRPr="00752699">
              <w:t>Be aware that toxicity of nanomaterials may be greater than for the parent material, and that their greater surface area may make nanomaterials more flammable, explosive, or reactive than larger particles of the same composition. The risks of fire/explosion/reaction increase with the amount of nanomaterial; researchers should bear this in mind if scaling up a process.</w:t>
            </w:r>
          </w:p>
        </w:tc>
      </w:tr>
    </w:tbl>
    <w:p w14:paraId="60061E4C" w14:textId="77777777" w:rsidR="000E0C95" w:rsidRPr="002532B4" w:rsidRDefault="000E0C95" w:rsidP="000E0C95">
      <w:pPr>
        <w:spacing w:after="0" w:line="240" w:lineRule="auto"/>
      </w:pPr>
    </w:p>
    <w:p w14:paraId="69F50ECC" w14:textId="77777777" w:rsidR="000E0C95" w:rsidRPr="002532B4" w:rsidRDefault="000E0C95" w:rsidP="000E0C95">
      <w:pPr>
        <w:numPr>
          <w:ilvl w:val="0"/>
          <w:numId w:val="5"/>
        </w:numPr>
        <w:spacing w:after="0" w:line="240" w:lineRule="auto"/>
      </w:pPr>
      <w:r w:rsidRPr="002532B4">
        <w:rPr>
          <w:b/>
          <w:bCs/>
          <w:u w:val="single"/>
        </w:rPr>
        <w:t>Engineering Controls:</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14:paraId="3126CB65" w14:textId="77777777" w:rsidTr="758656E0">
        <w:tc>
          <w:tcPr>
            <w:tcW w:w="11016" w:type="dxa"/>
          </w:tcPr>
          <w:p w14:paraId="44EAFD9C" w14:textId="459294CF" w:rsidR="000E0C95" w:rsidRPr="0085652D" w:rsidRDefault="000E0C95" w:rsidP="00F93D6F">
            <w:pPr>
              <w:spacing w:after="60" w:line="240" w:lineRule="auto"/>
            </w:pPr>
            <w:r>
              <w:t>If aerosols may be produced, nanomaterials (and any suspensions of nanomaterials) must be handled in a chemical fume hood, exhausted biological safety cabinet with negative pressure ductwork, or other exhausted enclosure.  Aerosols may be produced during any open handling of dry powder, and during open or pressurized manipulations of suspensions.  It is recommended that lab</w:t>
            </w:r>
            <w:r w:rsidR="00877B38">
              <w:t xml:space="preserve">s </w:t>
            </w:r>
            <w:r w:rsidR="3D50F028">
              <w:t>post information</w:t>
            </w:r>
            <w:r>
              <w:t xml:space="preserve"> sheets on</w:t>
            </w:r>
            <w:r w:rsidR="00877B38">
              <w:t xml:space="preserve"> materials used.</w:t>
            </w:r>
          </w:p>
        </w:tc>
      </w:tr>
    </w:tbl>
    <w:p w14:paraId="4B94D5A5" w14:textId="77777777" w:rsidR="000E0C95" w:rsidRPr="002532B4" w:rsidRDefault="000E0C95" w:rsidP="000E0C95">
      <w:pPr>
        <w:spacing w:after="0" w:line="240" w:lineRule="auto"/>
      </w:pPr>
    </w:p>
    <w:p w14:paraId="3B3FB3FF" w14:textId="77777777" w:rsidR="000E0C95" w:rsidRPr="002532B4" w:rsidRDefault="000E0C95" w:rsidP="000E0C95">
      <w:pPr>
        <w:numPr>
          <w:ilvl w:val="0"/>
          <w:numId w:val="5"/>
        </w:numPr>
        <w:spacing w:after="0" w:line="240" w:lineRule="auto"/>
      </w:pPr>
      <w:r w:rsidRPr="002532B4">
        <w:rPr>
          <w:b/>
          <w:bCs/>
          <w:u w:val="single"/>
        </w:rPr>
        <w:t>Work Practice Controls:</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14:paraId="128FC4EF" w14:textId="77777777" w:rsidTr="00E904D8">
        <w:tc>
          <w:tcPr>
            <w:tcW w:w="11016" w:type="dxa"/>
          </w:tcPr>
          <w:p w14:paraId="461A6336" w14:textId="77777777" w:rsidR="000E0C95" w:rsidRPr="0085652D" w:rsidRDefault="000E0C95" w:rsidP="000E0C95">
            <w:pPr>
              <w:numPr>
                <w:ilvl w:val="0"/>
                <w:numId w:val="3"/>
              </w:numPr>
              <w:spacing w:after="0" w:line="240" w:lineRule="auto"/>
              <w:ind w:left="360"/>
            </w:pPr>
            <w:r w:rsidRPr="0085652D">
              <w:t>Label containers of nanomaterials with particle size along with other standard items required for the label.</w:t>
            </w:r>
          </w:p>
          <w:p w14:paraId="5407ED36" w14:textId="77777777" w:rsidR="000E0C95" w:rsidRPr="002532B4" w:rsidRDefault="000E0C95" w:rsidP="000E0C95">
            <w:pPr>
              <w:numPr>
                <w:ilvl w:val="0"/>
                <w:numId w:val="3"/>
              </w:numPr>
              <w:spacing w:after="0" w:line="240" w:lineRule="auto"/>
              <w:ind w:left="360"/>
            </w:pPr>
            <w:r w:rsidRPr="002532B4">
              <w:t xml:space="preserve">Set up a designated area for work with </w:t>
            </w:r>
            <w:r>
              <w:t>nanomaterials</w:t>
            </w:r>
            <w:r w:rsidRPr="002532B4">
              <w:t xml:space="preserve"> and suspensions thereof, and label it.</w:t>
            </w:r>
          </w:p>
          <w:p w14:paraId="38E53283" w14:textId="25C44884" w:rsidR="000E0C95" w:rsidRPr="002532B4" w:rsidRDefault="000E0C95" w:rsidP="00F93D6F">
            <w:pPr>
              <w:numPr>
                <w:ilvl w:val="0"/>
                <w:numId w:val="3"/>
              </w:numPr>
              <w:spacing w:after="0" w:line="240" w:lineRule="auto"/>
              <w:ind w:left="360"/>
            </w:pPr>
            <w:r>
              <w:t>Wet cleaning or HEPA vacuuming of lab equipment and exhaust systems is required prior to repair, disposal, or reuse.</w:t>
            </w:r>
            <w:r w:rsidRPr="002532B4">
              <w:t xml:space="preserve">  </w:t>
            </w:r>
          </w:p>
          <w:p w14:paraId="3B0C67F9" w14:textId="77777777" w:rsidR="000E0C95" w:rsidRPr="002532B4" w:rsidRDefault="000E0C95" w:rsidP="000E0C95">
            <w:pPr>
              <w:numPr>
                <w:ilvl w:val="0"/>
                <w:numId w:val="3"/>
              </w:numPr>
              <w:spacing w:after="0" w:line="240" w:lineRule="auto"/>
              <w:ind w:left="360"/>
            </w:pPr>
            <w:r w:rsidRPr="002532B4">
              <w:t>Change gloves regularly (at least every two hours) and wash hands at the time of the glove change.</w:t>
            </w:r>
          </w:p>
          <w:p w14:paraId="315AC8B3" w14:textId="77777777" w:rsidR="0074443F" w:rsidRDefault="000E0C95" w:rsidP="00D36081">
            <w:pPr>
              <w:numPr>
                <w:ilvl w:val="0"/>
                <w:numId w:val="3"/>
              </w:numPr>
              <w:spacing w:after="0" w:line="240" w:lineRule="auto"/>
              <w:ind w:left="360"/>
            </w:pPr>
            <w:r w:rsidRPr="002532B4">
              <w:t xml:space="preserve">If using a HEPA vacuum, change the filter inside a chemical fume hood or biological safety cabinet. </w:t>
            </w:r>
          </w:p>
          <w:p w14:paraId="2DCFB0E1" w14:textId="606F8554" w:rsidR="007F419A" w:rsidRDefault="000E0C95" w:rsidP="00D36081">
            <w:pPr>
              <w:numPr>
                <w:ilvl w:val="0"/>
                <w:numId w:val="3"/>
              </w:numPr>
              <w:spacing w:after="0" w:line="240" w:lineRule="auto"/>
              <w:ind w:left="360"/>
            </w:pPr>
            <w:r w:rsidRPr="002532B4">
              <w:t>Keep containers closed as much as possible.</w:t>
            </w:r>
          </w:p>
          <w:p w14:paraId="080A01F0" w14:textId="5F7F7CCD" w:rsidR="00CA28AA" w:rsidRPr="00CA28AA" w:rsidRDefault="00CA28AA" w:rsidP="008F6A55">
            <w:pPr>
              <w:spacing w:after="0" w:line="240" w:lineRule="auto"/>
              <w:ind w:left="360"/>
              <w:rPr>
                <w:i/>
                <w:color w:val="FF0000"/>
              </w:rPr>
            </w:pPr>
          </w:p>
        </w:tc>
      </w:tr>
    </w:tbl>
    <w:p w14:paraId="3DEEC669" w14:textId="77777777" w:rsidR="000E0C95" w:rsidRPr="002532B4" w:rsidRDefault="000E0C95" w:rsidP="000E0C95">
      <w:pPr>
        <w:spacing w:after="0" w:line="240" w:lineRule="auto"/>
      </w:pPr>
    </w:p>
    <w:p w14:paraId="46F44D38" w14:textId="77777777" w:rsidR="000E0C95" w:rsidRPr="002532B4" w:rsidRDefault="000E0C95" w:rsidP="000E0C95">
      <w:pPr>
        <w:numPr>
          <w:ilvl w:val="0"/>
          <w:numId w:val="5"/>
        </w:numPr>
        <w:spacing w:after="0" w:line="240" w:lineRule="auto"/>
      </w:pPr>
      <w:r w:rsidRPr="002532B4">
        <w:rPr>
          <w:b/>
          <w:bCs/>
          <w:u w:val="single"/>
        </w:rPr>
        <w:t>Personal protective equipment (PPE):</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253A3263" w14:textId="77777777" w:rsidTr="00E904D8">
        <w:tc>
          <w:tcPr>
            <w:tcW w:w="10638" w:type="dxa"/>
          </w:tcPr>
          <w:p w14:paraId="00911A85" w14:textId="77777777" w:rsidR="000E0C95" w:rsidRPr="002532B4" w:rsidRDefault="000E0C95" w:rsidP="000E0C95">
            <w:pPr>
              <w:numPr>
                <w:ilvl w:val="0"/>
                <w:numId w:val="3"/>
              </w:numPr>
              <w:spacing w:after="0" w:line="240" w:lineRule="auto"/>
              <w:ind w:left="360"/>
            </w:pPr>
            <w:r w:rsidRPr="002532B4">
              <w:t xml:space="preserve">Standard nitrile laboratory gloves and a fully buttoned lab coat with sleeves extending to the wrists should be worn when handling </w:t>
            </w:r>
            <w:r>
              <w:t>nanomaterials</w:t>
            </w:r>
            <w:r w:rsidRPr="002532B4">
              <w:t xml:space="preserve">. When handling suspensions or solutions, choose a glove that is protective against the solvent. </w:t>
            </w:r>
          </w:p>
          <w:p w14:paraId="5F0D5F29" w14:textId="77777777" w:rsidR="000E0C95" w:rsidRPr="002532B4" w:rsidRDefault="000E0C95" w:rsidP="000E0C95">
            <w:pPr>
              <w:numPr>
                <w:ilvl w:val="0"/>
                <w:numId w:val="3"/>
              </w:numPr>
              <w:spacing w:after="0" w:line="240" w:lineRule="auto"/>
              <w:ind w:left="360"/>
            </w:pPr>
            <w:r w:rsidRPr="002532B4">
              <w:t>If splashes may occur, wear goggles</w:t>
            </w:r>
            <w:r w:rsidR="00721AEC">
              <w:t xml:space="preserve"> and a face shield</w:t>
            </w:r>
            <w:r w:rsidRPr="002532B4">
              <w:t>. Otherwise, wear standard laboratory safety glasses.</w:t>
            </w:r>
          </w:p>
          <w:p w14:paraId="78F05E48" w14:textId="77777777" w:rsidR="00721AEC" w:rsidRPr="002532B4" w:rsidRDefault="000E0C95" w:rsidP="00721AEC">
            <w:pPr>
              <w:numPr>
                <w:ilvl w:val="0"/>
                <w:numId w:val="3"/>
              </w:numPr>
              <w:spacing w:after="0" w:line="240" w:lineRule="auto"/>
              <w:ind w:left="360"/>
            </w:pPr>
            <w:r w:rsidRPr="002532B4">
              <w:t>In cases where the arms or torso may be exposed to liquid suspensions or dry particles, wear Tyvek sleeves and/or gowns (or other air-tight non-woven textile).</w:t>
            </w:r>
          </w:p>
        </w:tc>
      </w:tr>
    </w:tbl>
    <w:p w14:paraId="3656B9AB" w14:textId="77777777" w:rsidR="000E0C95" w:rsidRPr="002532B4" w:rsidRDefault="000E0C95" w:rsidP="000E0C95">
      <w:pPr>
        <w:spacing w:after="0" w:line="240" w:lineRule="auto"/>
      </w:pPr>
    </w:p>
    <w:p w14:paraId="76575CCD" w14:textId="77777777" w:rsidR="000E0C95" w:rsidRPr="002532B4" w:rsidRDefault="000E0C95" w:rsidP="000E0C95">
      <w:pPr>
        <w:numPr>
          <w:ilvl w:val="0"/>
          <w:numId w:val="5"/>
        </w:numPr>
        <w:spacing w:after="0" w:line="240" w:lineRule="auto"/>
        <w:rPr>
          <w:b/>
          <w:bCs/>
        </w:rPr>
      </w:pPr>
      <w:r w:rsidRPr="002532B4">
        <w:rPr>
          <w:b/>
          <w:bCs/>
          <w:u w:val="single"/>
        </w:rPr>
        <w:t>Waste Disposal:</w:t>
      </w:r>
      <w:r w:rsidRPr="002532B4">
        <w:rPr>
          <w:bCs/>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18692560" w14:textId="77777777" w:rsidTr="00E904D8">
        <w:tc>
          <w:tcPr>
            <w:tcW w:w="10638" w:type="dxa"/>
          </w:tcPr>
          <w:p w14:paraId="3AF377BB" w14:textId="77777777" w:rsidR="000E0C95" w:rsidRPr="005E16BB" w:rsidRDefault="000E0C95" w:rsidP="00877B38">
            <w:pPr>
              <w:spacing w:after="0" w:line="240" w:lineRule="auto"/>
              <w:rPr>
                <w:bCs/>
              </w:rPr>
            </w:pPr>
            <w:r>
              <w:t>Unwanted nanomaterials (unless fixed in a solid non-friable matrix) must be</w:t>
            </w:r>
            <w:r w:rsidRPr="002532B4">
              <w:t xml:space="preserve"> must be disposed of following </w:t>
            </w:r>
            <w:r>
              <w:t xml:space="preserve">your laboratory-specific chemical hygiene plan, </w:t>
            </w:r>
            <w:r w:rsidR="00877B38">
              <w:t>and FIU</w:t>
            </w:r>
            <w:r w:rsidRPr="002532B4">
              <w:t>’s</w:t>
            </w:r>
            <w:r w:rsidR="00877B38">
              <w:rPr>
                <w:bCs/>
              </w:rPr>
              <w:t xml:space="preserve"> policies.</w:t>
            </w:r>
          </w:p>
        </w:tc>
      </w:tr>
    </w:tbl>
    <w:p w14:paraId="049F31CB" w14:textId="77777777" w:rsidR="000E0C95" w:rsidRPr="002532B4" w:rsidRDefault="000E0C95" w:rsidP="000E0C95">
      <w:pPr>
        <w:spacing w:after="0" w:line="240" w:lineRule="auto"/>
        <w:rPr>
          <w:b/>
          <w:bCs/>
        </w:rPr>
      </w:pPr>
    </w:p>
    <w:p w14:paraId="37D97BF0" w14:textId="77777777" w:rsidR="000E0C95" w:rsidRPr="002532B4" w:rsidRDefault="000E0C95" w:rsidP="000E0C95">
      <w:pPr>
        <w:numPr>
          <w:ilvl w:val="0"/>
          <w:numId w:val="5"/>
        </w:numPr>
        <w:spacing w:after="0" w:line="240" w:lineRule="auto"/>
        <w:rPr>
          <w:b/>
          <w:bCs/>
        </w:rPr>
      </w:pPr>
      <w:r w:rsidRPr="002532B4">
        <w:rPr>
          <w:b/>
          <w:bCs/>
          <w:u w:val="single"/>
        </w:rPr>
        <w:t>Exposures/Unintended contact:</w:t>
      </w:r>
      <w:r w:rsidRPr="002532B4">
        <w:rPr>
          <w:bCs/>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0"/>
      </w:tblGrid>
      <w:tr w:rsidR="000E0C95" w:rsidRPr="002532B4" w14:paraId="0DE97914" w14:textId="77777777" w:rsidTr="00E904D8">
        <w:tc>
          <w:tcPr>
            <w:tcW w:w="10656" w:type="dxa"/>
          </w:tcPr>
          <w:p w14:paraId="3906B77F" w14:textId="77777777" w:rsidR="000E0C95" w:rsidRPr="007F18D1" w:rsidRDefault="000E0C95" w:rsidP="00E904D8">
            <w:pPr>
              <w:spacing w:after="0" w:line="240" w:lineRule="auto"/>
              <w:rPr>
                <w:bCs/>
              </w:rPr>
            </w:pPr>
            <w:r w:rsidRPr="007F18D1">
              <w:rPr>
                <w:bCs/>
              </w:rPr>
              <w:t xml:space="preserve">  For an actual chemical exposure/injury</w:t>
            </w:r>
            <w:r w:rsidR="00236847">
              <w:rPr>
                <w:bCs/>
              </w:rPr>
              <w:t>:</w:t>
            </w:r>
          </w:p>
          <w:p w14:paraId="2CF2ADF9" w14:textId="77777777" w:rsidR="000E0C95" w:rsidRPr="007F18D1" w:rsidRDefault="000E0C95" w:rsidP="000E0C95">
            <w:pPr>
              <w:numPr>
                <w:ilvl w:val="0"/>
                <w:numId w:val="2"/>
              </w:numPr>
              <w:spacing w:after="0" w:line="240" w:lineRule="auto"/>
              <w:ind w:left="360"/>
            </w:pPr>
            <w:r w:rsidRPr="007F18D1">
              <w:t>Flush exposed eyes or skin with water for at least 15 minutes, then seek medical attention</w:t>
            </w:r>
            <w:r w:rsidR="005E16BB">
              <w:t xml:space="preserve"> if needed</w:t>
            </w:r>
            <w:r w:rsidRPr="007F18D1">
              <w:t>.</w:t>
            </w:r>
          </w:p>
          <w:p w14:paraId="78026E3A" w14:textId="77777777" w:rsidR="000E0C95" w:rsidRPr="007F18D1" w:rsidRDefault="000E0C95" w:rsidP="000E0C95">
            <w:pPr>
              <w:numPr>
                <w:ilvl w:val="0"/>
                <w:numId w:val="2"/>
              </w:numPr>
              <w:spacing w:after="0" w:line="240" w:lineRule="auto"/>
              <w:ind w:left="360"/>
            </w:pPr>
            <w:r>
              <w:t xml:space="preserve">For situations with risk of inhalation exposure (including </w:t>
            </w:r>
            <w:r w:rsidR="005E16BB">
              <w:t xml:space="preserve">dry powder </w:t>
            </w:r>
            <w:r>
              <w:t xml:space="preserve">spills outside of a chemical fume hood), </w:t>
            </w:r>
            <w:r w:rsidRPr="007F18D1">
              <w:t>remove all persons from the contaminated area.</w:t>
            </w:r>
          </w:p>
          <w:p w14:paraId="4E39A0F5" w14:textId="77777777" w:rsidR="000E0C95" w:rsidRPr="007F18D1" w:rsidRDefault="00877B38" w:rsidP="000E0C95">
            <w:pPr>
              <w:numPr>
                <w:ilvl w:val="0"/>
                <w:numId w:val="2"/>
              </w:numPr>
              <w:spacing w:after="0" w:line="240" w:lineRule="auto"/>
              <w:ind w:left="360"/>
            </w:pPr>
            <w:r>
              <w:lastRenderedPageBreak/>
              <w:t>Call 911</w:t>
            </w:r>
            <w:r w:rsidR="000E0C95" w:rsidRPr="007F18D1">
              <w:t xml:space="preserve"> or </w:t>
            </w:r>
            <w:r>
              <w:t>7-5911</w:t>
            </w:r>
            <w:r w:rsidR="000E0C95" w:rsidRPr="007F18D1">
              <w:t xml:space="preserve"> from any phone to request assistance </w:t>
            </w:r>
            <w:r>
              <w:t xml:space="preserve">if needed. Contact EHS for </w:t>
            </w:r>
            <w:r w:rsidR="000E0C95" w:rsidRPr="007F18D1">
              <w:t>exposure-related advice.</w:t>
            </w:r>
          </w:p>
          <w:p w14:paraId="53128261" w14:textId="77777777" w:rsidR="000E0C95" w:rsidRDefault="000E0C95" w:rsidP="00877B38">
            <w:pPr>
              <w:spacing w:after="0" w:line="240" w:lineRule="auto"/>
              <w:rPr>
                <w:bCs/>
              </w:rPr>
            </w:pPr>
          </w:p>
          <w:p w14:paraId="62486C05" w14:textId="77777777" w:rsidR="00877B38" w:rsidRPr="002532B4" w:rsidRDefault="00877B38" w:rsidP="00877B38">
            <w:pPr>
              <w:spacing w:after="0" w:line="240" w:lineRule="auto"/>
              <w:rPr>
                <w:bCs/>
              </w:rPr>
            </w:pPr>
          </w:p>
        </w:tc>
      </w:tr>
    </w:tbl>
    <w:p w14:paraId="4101652C" w14:textId="77777777" w:rsidR="000E0C95" w:rsidRPr="002532B4" w:rsidRDefault="000E0C95" w:rsidP="000E0C95">
      <w:pPr>
        <w:spacing w:after="0" w:line="240" w:lineRule="auto"/>
        <w:ind w:left="360"/>
        <w:rPr>
          <w:bCs/>
        </w:rPr>
      </w:pPr>
    </w:p>
    <w:p w14:paraId="4841EC7F" w14:textId="77777777" w:rsidR="000E0C95" w:rsidRPr="002532B4" w:rsidRDefault="000E0C95" w:rsidP="000E0C95">
      <w:pPr>
        <w:numPr>
          <w:ilvl w:val="0"/>
          <w:numId w:val="5"/>
        </w:numPr>
        <w:spacing w:after="0" w:line="240" w:lineRule="auto"/>
        <w:rPr>
          <w:bCs/>
        </w:rPr>
      </w:pPr>
      <w:r w:rsidRPr="002532B4">
        <w:rPr>
          <w:b/>
          <w:bCs/>
          <w:u w:val="single"/>
        </w:rPr>
        <w:t>Spill Procedure: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68B57A1D" w14:textId="77777777" w:rsidTr="00E904D8">
        <w:tc>
          <w:tcPr>
            <w:tcW w:w="10638" w:type="dxa"/>
          </w:tcPr>
          <w:p w14:paraId="0A0E7D21" w14:textId="77777777" w:rsidR="000E0C95" w:rsidRPr="007F18D1" w:rsidRDefault="000E0C95" w:rsidP="00E904D8">
            <w:pPr>
              <w:spacing w:after="0" w:line="240" w:lineRule="auto"/>
              <w:rPr>
                <w:bCs/>
                <w:i/>
              </w:rPr>
            </w:pPr>
            <w:r w:rsidRPr="007F18D1">
              <w:rPr>
                <w:bCs/>
                <w:i/>
              </w:rPr>
              <w:t xml:space="preserve">Every lab working with nanomaterials in a form that could be spilled or released (dry particulate or liquid suspension) must have a plan for cleaning up spills, and supplies on hand for dealing with small spills. A supply of “Tack Mat” or similar adhesive-coated mats should be kept on hand. If dispersed spills of dry nanomaterials are possible (such as during synthesis reactions), a HEPA vacuum (preferably one with electrostatic-charge-neutralization features) is recommended. If the vacuum may be used for incompatible materials, maintain a log of vacuum use so that collection of incompatible materials can be avoided.  </w:t>
            </w:r>
          </w:p>
          <w:p w14:paraId="52C600AA" w14:textId="77777777" w:rsidR="000E0C95" w:rsidRDefault="000E0C95" w:rsidP="00E904D8">
            <w:pPr>
              <w:spacing w:after="0" w:line="240" w:lineRule="auto"/>
              <w:rPr>
                <w:bCs/>
              </w:rPr>
            </w:pPr>
            <w:r>
              <w:rPr>
                <w:bCs/>
              </w:rPr>
              <w:br/>
              <w:t>Unless there are other hazards (such as reactivity) associated with the nanomaterials, the following recommendations should be adequate.</w:t>
            </w:r>
          </w:p>
          <w:p w14:paraId="5FDC0734" w14:textId="77777777" w:rsidR="000E0C95" w:rsidRPr="007F18D1" w:rsidRDefault="000E0C95" w:rsidP="000E0C95">
            <w:pPr>
              <w:numPr>
                <w:ilvl w:val="0"/>
                <w:numId w:val="4"/>
              </w:numPr>
              <w:spacing w:after="0" w:line="240" w:lineRule="auto"/>
              <w:ind w:left="360"/>
              <w:rPr>
                <w:bCs/>
              </w:rPr>
            </w:pPr>
            <w:r w:rsidRPr="007F18D1">
              <w:rPr>
                <w:bCs/>
              </w:rPr>
              <w:t>If the nanomaterial spilled outside of a contained enclosure, place an adhesive mat at the room’s exit to reduce the likelihood of spreading nanomaterials outside of the room where the spill occurred.</w:t>
            </w:r>
          </w:p>
          <w:p w14:paraId="5DE727FA" w14:textId="77777777" w:rsidR="000E0C95" w:rsidRPr="007F18D1" w:rsidRDefault="000E0C95" w:rsidP="000E0C95">
            <w:pPr>
              <w:numPr>
                <w:ilvl w:val="0"/>
                <w:numId w:val="4"/>
              </w:numPr>
              <w:spacing w:after="0" w:line="240" w:lineRule="auto"/>
              <w:ind w:left="360"/>
              <w:rPr>
                <w:bCs/>
              </w:rPr>
            </w:pPr>
            <w:r w:rsidRPr="007F18D1">
              <w:rPr>
                <w:bCs/>
              </w:rPr>
              <w:t>For small spills of liquid suspensions, absorb the spilled material with a suitable absorbent (determined in advance), then wet-wipe the affected area three times. Place all absorbent and PPE into a bag and seal, then submit as hazardous chemical waste through</w:t>
            </w:r>
            <w:r w:rsidR="00877B38">
              <w:rPr>
                <w:bCs/>
              </w:rPr>
              <w:t xml:space="preserve"> EHS Environmental Programs 7-2622 or 7-6849</w:t>
            </w:r>
            <w:r w:rsidRPr="007F18D1">
              <w:rPr>
                <w:bCs/>
              </w:rPr>
              <w:t>.</w:t>
            </w:r>
          </w:p>
          <w:p w14:paraId="55735AEE" w14:textId="77777777" w:rsidR="000E0C95" w:rsidRPr="007F18D1" w:rsidRDefault="000E0C95" w:rsidP="000E0C95">
            <w:pPr>
              <w:numPr>
                <w:ilvl w:val="0"/>
                <w:numId w:val="4"/>
              </w:numPr>
              <w:spacing w:after="0" w:line="240" w:lineRule="auto"/>
              <w:ind w:left="360"/>
              <w:rPr>
                <w:bCs/>
              </w:rPr>
            </w:pPr>
            <w:r w:rsidRPr="007F18D1">
              <w:rPr>
                <w:bCs/>
              </w:rPr>
              <w:t>For spills of dry nanomaterials in a chemical fume hood or other enclosure</w:t>
            </w:r>
            <w:r w:rsidR="00AA3E22">
              <w:rPr>
                <w:bCs/>
              </w:rPr>
              <w:t xml:space="preserve">, </w:t>
            </w:r>
            <w:r w:rsidRPr="007F18D1">
              <w:rPr>
                <w:bCs/>
              </w:rPr>
              <w:t xml:space="preserve">wipe up the powder using a cloth dampened with a suitable absorbent, (determined in advance) or wet the powder with a suitable absorbent and then wipe with a dry cloth. Consider using electrostatic microfiber cleaning cloths, especially if the nanomaterial is likely to carry an electrostatic charge. Alternately (or in addition), a HEPA vacuum (preferably with electrostatic-charge-neutralization features) may be used for cleaning the spill </w:t>
            </w:r>
            <w:r w:rsidR="00D9623B">
              <w:rPr>
                <w:bCs/>
              </w:rPr>
              <w:t>(note above precautions about in</w:t>
            </w:r>
            <w:r w:rsidRPr="007F18D1">
              <w:rPr>
                <w:bCs/>
              </w:rPr>
              <w:t xml:space="preserve">compatible materials). Minimize the fume hood or enclosure opening during this process.  </w:t>
            </w:r>
            <w:r w:rsidR="007F419A">
              <w:rPr>
                <w:bCs/>
              </w:rPr>
              <w:t xml:space="preserve">Once spill has been cleaned up, </w:t>
            </w:r>
            <w:r w:rsidR="007F419A" w:rsidRPr="007F18D1">
              <w:rPr>
                <w:bCs/>
              </w:rPr>
              <w:t>wet-wipe the affected area three times</w:t>
            </w:r>
            <w:r w:rsidR="007F419A">
              <w:rPr>
                <w:bCs/>
              </w:rPr>
              <w:t xml:space="preserve"> to decontaminate the surface.  </w:t>
            </w:r>
            <w:r w:rsidRPr="007F18D1">
              <w:rPr>
                <w:bCs/>
              </w:rPr>
              <w:t>Place any clean-up materials into a bag and seal, then submit as haz</w:t>
            </w:r>
            <w:r w:rsidR="00877B38">
              <w:rPr>
                <w:bCs/>
              </w:rPr>
              <w:t>ardous chemical waste through EHS</w:t>
            </w:r>
            <w:r w:rsidRPr="007F18D1">
              <w:rPr>
                <w:bCs/>
              </w:rPr>
              <w:t>.</w:t>
            </w:r>
          </w:p>
          <w:p w14:paraId="002FE26D" w14:textId="77777777" w:rsidR="000E0C95" w:rsidRPr="007F18D1" w:rsidRDefault="000E0C95" w:rsidP="00222B59">
            <w:pPr>
              <w:numPr>
                <w:ilvl w:val="0"/>
                <w:numId w:val="4"/>
              </w:numPr>
              <w:spacing w:after="0" w:line="240" w:lineRule="auto"/>
              <w:ind w:left="360"/>
              <w:rPr>
                <w:bCs/>
              </w:rPr>
            </w:pPr>
            <w:r w:rsidRPr="007F18D1">
              <w:rPr>
                <w:bCs/>
              </w:rPr>
              <w:t xml:space="preserve">For </w:t>
            </w:r>
            <w:r w:rsidR="00AA3E22">
              <w:rPr>
                <w:bCs/>
              </w:rPr>
              <w:t>spills of dry nanomaterials or major</w:t>
            </w:r>
            <w:r w:rsidRPr="007F18D1">
              <w:rPr>
                <w:bCs/>
              </w:rPr>
              <w:t xml:space="preserve"> spills of liquid suspensions outside of a chemical fume hood or other enclosure, leave the area and request assistance from the spill response team by calling 911 </w:t>
            </w:r>
            <w:r w:rsidR="00877B38">
              <w:rPr>
                <w:bCs/>
              </w:rPr>
              <w:t>or 7-5911</w:t>
            </w:r>
            <w:r w:rsidRPr="007F18D1">
              <w:rPr>
                <w:bCs/>
              </w:rPr>
              <w:t xml:space="preserve"> from any p</w:t>
            </w:r>
            <w:r w:rsidR="00222B59">
              <w:rPr>
                <w:bCs/>
              </w:rPr>
              <w:t>hone. Researchers should also contact the EHS</w:t>
            </w:r>
            <w:r w:rsidRPr="007F18D1">
              <w:rPr>
                <w:bCs/>
              </w:rPr>
              <w:t xml:space="preserve"> whether or not they can safel</w:t>
            </w:r>
            <w:r w:rsidR="00222B59">
              <w:rPr>
                <w:bCs/>
              </w:rPr>
              <w:t>y clean up a spill.</w:t>
            </w:r>
          </w:p>
        </w:tc>
      </w:tr>
    </w:tbl>
    <w:p w14:paraId="4B99056E" w14:textId="77777777" w:rsidR="000E0C95" w:rsidRPr="002532B4" w:rsidRDefault="000E0C95" w:rsidP="000E0C95">
      <w:pPr>
        <w:spacing w:after="0" w:line="240" w:lineRule="auto"/>
        <w:rPr>
          <w:bCs/>
        </w:rPr>
      </w:pPr>
    </w:p>
    <w:p w14:paraId="7B84BD0A" w14:textId="77777777" w:rsidR="000E0C95" w:rsidRPr="002532B4" w:rsidRDefault="000E0C95" w:rsidP="000E0C95">
      <w:pPr>
        <w:numPr>
          <w:ilvl w:val="0"/>
          <w:numId w:val="5"/>
        </w:numPr>
        <w:spacing w:after="0" w:line="240" w:lineRule="auto"/>
        <w:rPr>
          <w:bCs/>
        </w:rPr>
      </w:pPr>
      <w:r w:rsidRPr="002532B4">
        <w:rPr>
          <w:b/>
          <w:bCs/>
          <w:u w:val="single"/>
        </w:rPr>
        <w:t>Training of personnel</w:t>
      </w:r>
      <w:r w:rsidRPr="002532B4">
        <w:rPr>
          <w:b/>
          <w:u w:val="single"/>
        </w:rPr>
        <w:t>:</w:t>
      </w:r>
      <w:r w:rsidRPr="002532B4">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0E0C95" w:rsidRPr="002532B4" w14:paraId="05E350ED" w14:textId="77777777" w:rsidTr="00E904D8">
        <w:tc>
          <w:tcPr>
            <w:tcW w:w="10638" w:type="dxa"/>
          </w:tcPr>
          <w:p w14:paraId="110B9E90" w14:textId="77777777" w:rsidR="000E0C95" w:rsidRDefault="000E0C95" w:rsidP="000E0C95">
            <w:pPr>
              <w:numPr>
                <w:ilvl w:val="0"/>
                <w:numId w:val="3"/>
              </w:numPr>
              <w:spacing w:after="0" w:line="240" w:lineRule="auto"/>
              <w:ind w:left="360"/>
            </w:pPr>
            <w:r w:rsidRPr="007F18D1">
              <w:t>All personnel are required to complete the online Genera</w:t>
            </w:r>
            <w:r w:rsidR="00222B59">
              <w:t>l Lab Safety session thru the EHS</w:t>
            </w:r>
            <w:r w:rsidRPr="007F18D1">
              <w:t xml:space="preserve"> website.  This session includes an introduction to general chemical safety.  </w:t>
            </w:r>
          </w:p>
          <w:p w14:paraId="52BF9309" w14:textId="77777777" w:rsidR="000E0C95" w:rsidRPr="007F18D1" w:rsidRDefault="000E0C95" w:rsidP="005E16BB">
            <w:pPr>
              <w:numPr>
                <w:ilvl w:val="0"/>
                <w:numId w:val="3"/>
              </w:numPr>
              <w:spacing w:after="0" w:line="240" w:lineRule="auto"/>
              <w:ind w:left="360"/>
            </w:pPr>
            <w:r w:rsidRPr="000E0C95">
              <w:t>Training on lab-specific procedures is required for all personnel working with these materials, and must be documented (topics covered, date, employee names and signatures).</w:t>
            </w:r>
            <w:r w:rsidR="005E16BB">
              <w:t xml:space="preserve">  </w:t>
            </w:r>
            <w:r w:rsidR="005E16BB" w:rsidRPr="007F18D1">
              <w:t>Laboratory-specific training for work with nanomaterials must include information on the relatively greater hazards of working with nanomaterials, and on the uncertainty of health effects.</w:t>
            </w:r>
            <w:r w:rsidR="005E16BB">
              <w:t xml:space="preserve"> </w:t>
            </w:r>
          </w:p>
          <w:p w14:paraId="6045E0EF" w14:textId="77777777" w:rsidR="000E0C95" w:rsidRPr="002532B4" w:rsidRDefault="000E0C95" w:rsidP="000E0C95">
            <w:pPr>
              <w:numPr>
                <w:ilvl w:val="0"/>
                <w:numId w:val="3"/>
              </w:numPr>
              <w:spacing w:after="0" w:line="240" w:lineRule="auto"/>
              <w:ind w:left="360"/>
              <w:rPr>
                <w:b/>
              </w:rPr>
            </w:pPr>
            <w:r w:rsidRPr="007F18D1">
              <w:t>All personnel shall read and fully adhere to the laboratory- and nanomaterial specific SOP, and shall document that they have read it by signing and dating the SOP.</w:t>
            </w:r>
          </w:p>
        </w:tc>
      </w:tr>
    </w:tbl>
    <w:p w14:paraId="1299C43A" w14:textId="77777777" w:rsidR="000E0C95" w:rsidRDefault="000E0C95" w:rsidP="000E0C95">
      <w:pPr>
        <w:spacing w:after="20" w:line="240" w:lineRule="auto"/>
      </w:pPr>
    </w:p>
    <w:p w14:paraId="4D85BCDC" w14:textId="77777777" w:rsidR="009932D5" w:rsidRDefault="009932D5" w:rsidP="009932D5">
      <w:pPr>
        <w:jc w:val="center"/>
        <w:rPr>
          <w:b/>
        </w:rPr>
      </w:pPr>
      <w:r>
        <w:rPr>
          <w:b/>
        </w:rPr>
        <w:t>“I have read and understand this SOP. I agree to fully adhere to its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111"/>
        <w:gridCol w:w="1599"/>
        <w:gridCol w:w="3259"/>
        <w:gridCol w:w="1607"/>
      </w:tblGrid>
      <w:tr w:rsidR="009932D5" w14:paraId="045319F5" w14:textId="77777777" w:rsidTr="006B6569">
        <w:tc>
          <w:tcPr>
            <w:tcW w:w="2268" w:type="dxa"/>
            <w:tcBorders>
              <w:top w:val="single" w:sz="4" w:space="0" w:color="000000"/>
              <w:left w:val="single" w:sz="4" w:space="0" w:color="000000"/>
              <w:bottom w:val="single" w:sz="4" w:space="0" w:color="000000"/>
              <w:right w:val="single" w:sz="4" w:space="0" w:color="000000"/>
            </w:tcBorders>
            <w:vAlign w:val="bottom"/>
            <w:hideMark/>
          </w:tcPr>
          <w:p w14:paraId="0C398DDB" w14:textId="77777777" w:rsidR="009932D5" w:rsidRDefault="009932D5" w:rsidP="006B6569">
            <w:pPr>
              <w:spacing w:after="0" w:line="240" w:lineRule="auto"/>
              <w:jc w:val="center"/>
              <w:rPr>
                <w:b/>
              </w:rPr>
            </w:pPr>
            <w:r>
              <w:rPr>
                <w:b/>
              </w:rPr>
              <w:t>Last</w:t>
            </w:r>
          </w:p>
        </w:tc>
        <w:tc>
          <w:tcPr>
            <w:tcW w:w="2160" w:type="dxa"/>
            <w:tcBorders>
              <w:top w:val="single" w:sz="4" w:space="0" w:color="000000"/>
              <w:left w:val="single" w:sz="4" w:space="0" w:color="000000"/>
              <w:bottom w:val="single" w:sz="4" w:space="0" w:color="000000"/>
              <w:right w:val="single" w:sz="4" w:space="0" w:color="000000"/>
            </w:tcBorders>
            <w:vAlign w:val="bottom"/>
            <w:hideMark/>
          </w:tcPr>
          <w:p w14:paraId="225D015A" w14:textId="77777777" w:rsidR="009932D5" w:rsidRDefault="009932D5" w:rsidP="006B6569">
            <w:pPr>
              <w:spacing w:after="0" w:line="240" w:lineRule="auto"/>
              <w:jc w:val="center"/>
              <w:rPr>
                <w:b/>
              </w:rPr>
            </w:pPr>
            <w:r>
              <w:rPr>
                <w:b/>
              </w:rPr>
              <w:t>First</w:t>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1EC1C5E7" w14:textId="77777777" w:rsidR="009932D5" w:rsidRDefault="00222B59" w:rsidP="006B6569">
            <w:pPr>
              <w:spacing w:after="0" w:line="240" w:lineRule="auto"/>
              <w:jc w:val="center"/>
              <w:rPr>
                <w:b/>
              </w:rPr>
            </w:pPr>
            <w:r>
              <w:rPr>
                <w:b/>
              </w:rPr>
              <w:t>Panther</w:t>
            </w:r>
            <w:r w:rsidR="009932D5">
              <w:rPr>
                <w:b/>
              </w:rPr>
              <w:t xml:space="preserve"> ID</w:t>
            </w:r>
          </w:p>
        </w:tc>
        <w:tc>
          <w:tcPr>
            <w:tcW w:w="3330" w:type="dxa"/>
            <w:tcBorders>
              <w:top w:val="single" w:sz="4" w:space="0" w:color="000000"/>
              <w:left w:val="single" w:sz="4" w:space="0" w:color="000000"/>
              <w:bottom w:val="single" w:sz="4" w:space="0" w:color="000000"/>
              <w:right w:val="single" w:sz="4" w:space="0" w:color="000000"/>
            </w:tcBorders>
            <w:vAlign w:val="bottom"/>
            <w:hideMark/>
          </w:tcPr>
          <w:p w14:paraId="4CCB031D" w14:textId="77777777" w:rsidR="009932D5" w:rsidRDefault="009932D5" w:rsidP="006B6569">
            <w:pPr>
              <w:spacing w:after="0" w:line="240" w:lineRule="auto"/>
              <w:jc w:val="center"/>
              <w:rPr>
                <w:b/>
              </w:rPr>
            </w:pPr>
            <w:r>
              <w:rPr>
                <w:b/>
              </w:rPr>
              <w:t>Signature</w:t>
            </w:r>
          </w:p>
        </w:tc>
        <w:tc>
          <w:tcPr>
            <w:tcW w:w="1638" w:type="dxa"/>
            <w:tcBorders>
              <w:top w:val="single" w:sz="4" w:space="0" w:color="000000"/>
              <w:left w:val="single" w:sz="4" w:space="0" w:color="000000"/>
              <w:bottom w:val="single" w:sz="4" w:space="0" w:color="000000"/>
              <w:right w:val="single" w:sz="4" w:space="0" w:color="000000"/>
            </w:tcBorders>
            <w:hideMark/>
          </w:tcPr>
          <w:p w14:paraId="491072FA" w14:textId="77777777" w:rsidR="009932D5" w:rsidRDefault="009932D5" w:rsidP="006B6569">
            <w:pPr>
              <w:spacing w:after="0" w:line="240" w:lineRule="auto"/>
              <w:jc w:val="center"/>
              <w:rPr>
                <w:b/>
              </w:rPr>
            </w:pPr>
            <w:r>
              <w:rPr>
                <w:b/>
              </w:rPr>
              <w:t>Date</w:t>
            </w:r>
          </w:p>
        </w:tc>
      </w:tr>
      <w:tr w:rsidR="009932D5" w14:paraId="4DDBEF00"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3461D779"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CF2D8B6"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0FB78278"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1FC39945"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0562CB0E" w14:textId="77777777" w:rsidR="009932D5" w:rsidRDefault="009932D5" w:rsidP="006B6569">
            <w:pPr>
              <w:spacing w:after="0"/>
              <w:jc w:val="center"/>
              <w:rPr>
                <w:b/>
                <w:sz w:val="28"/>
                <w:szCs w:val="28"/>
              </w:rPr>
            </w:pPr>
          </w:p>
        </w:tc>
      </w:tr>
      <w:tr w:rsidR="009932D5" w14:paraId="34CE0A41"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62EBF3C5"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D98A12B"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2946DB82"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5997CC1D"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110FFD37" w14:textId="77777777" w:rsidR="009932D5" w:rsidRDefault="009932D5" w:rsidP="006B6569">
            <w:pPr>
              <w:spacing w:after="0"/>
              <w:jc w:val="center"/>
              <w:rPr>
                <w:b/>
                <w:sz w:val="28"/>
                <w:szCs w:val="28"/>
              </w:rPr>
            </w:pPr>
          </w:p>
        </w:tc>
      </w:tr>
      <w:tr w:rsidR="009932D5" w14:paraId="6B699379"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3FE9F23F"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1F72F646"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08CE6F91"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61CDCEAD"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6BB9E253" w14:textId="77777777" w:rsidR="009932D5" w:rsidRDefault="009932D5" w:rsidP="006B6569">
            <w:pPr>
              <w:spacing w:after="0"/>
              <w:jc w:val="center"/>
              <w:rPr>
                <w:b/>
                <w:sz w:val="28"/>
                <w:szCs w:val="28"/>
              </w:rPr>
            </w:pPr>
          </w:p>
        </w:tc>
      </w:tr>
      <w:tr w:rsidR="009932D5" w14:paraId="23DE523C"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52E56223"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7547A01"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5043CB0F"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07459315"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6537F28F" w14:textId="77777777" w:rsidR="009932D5" w:rsidRDefault="009932D5" w:rsidP="006B6569">
            <w:pPr>
              <w:spacing w:after="0"/>
              <w:jc w:val="center"/>
              <w:rPr>
                <w:b/>
                <w:sz w:val="28"/>
                <w:szCs w:val="28"/>
              </w:rPr>
            </w:pPr>
          </w:p>
        </w:tc>
      </w:tr>
      <w:tr w:rsidR="009932D5" w14:paraId="6DFB9E20"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70DF9E56"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4E871BC"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144A5D23"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738610EB"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637805D2" w14:textId="77777777" w:rsidR="009932D5" w:rsidRDefault="009932D5" w:rsidP="006B6569">
            <w:pPr>
              <w:spacing w:after="0"/>
              <w:jc w:val="center"/>
              <w:rPr>
                <w:b/>
                <w:sz w:val="28"/>
                <w:szCs w:val="28"/>
              </w:rPr>
            </w:pPr>
          </w:p>
        </w:tc>
      </w:tr>
      <w:tr w:rsidR="009932D5" w14:paraId="463F29E8"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3B7B4B86"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A0FF5F2"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5630AD66"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61829076"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2BA226A1" w14:textId="77777777" w:rsidR="009932D5" w:rsidRDefault="009932D5" w:rsidP="006B6569">
            <w:pPr>
              <w:spacing w:after="0"/>
              <w:jc w:val="center"/>
              <w:rPr>
                <w:b/>
                <w:sz w:val="28"/>
                <w:szCs w:val="28"/>
              </w:rPr>
            </w:pPr>
          </w:p>
        </w:tc>
      </w:tr>
      <w:tr w:rsidR="009932D5" w14:paraId="17AD93B2"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0DE4B5B7"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6204FF1"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2DBF0D7D"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6B62F1B3"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02F2C34E" w14:textId="77777777" w:rsidR="009932D5" w:rsidRDefault="009932D5" w:rsidP="006B6569">
            <w:pPr>
              <w:spacing w:after="0"/>
              <w:jc w:val="center"/>
              <w:rPr>
                <w:b/>
                <w:sz w:val="28"/>
                <w:szCs w:val="28"/>
              </w:rPr>
            </w:pPr>
          </w:p>
        </w:tc>
      </w:tr>
      <w:tr w:rsidR="009932D5" w14:paraId="680A4E5D" w14:textId="77777777" w:rsidTr="006B6569">
        <w:trPr>
          <w:trHeight w:val="432"/>
        </w:trPr>
        <w:tc>
          <w:tcPr>
            <w:tcW w:w="2268" w:type="dxa"/>
            <w:tcBorders>
              <w:top w:val="single" w:sz="4" w:space="0" w:color="000000"/>
              <w:left w:val="single" w:sz="4" w:space="0" w:color="000000"/>
              <w:bottom w:val="single" w:sz="4" w:space="0" w:color="000000"/>
              <w:right w:val="single" w:sz="4" w:space="0" w:color="000000"/>
            </w:tcBorders>
          </w:tcPr>
          <w:p w14:paraId="19219836" w14:textId="77777777" w:rsidR="009932D5" w:rsidRDefault="009932D5" w:rsidP="006B6569">
            <w:pPr>
              <w:spacing w:after="0"/>
              <w:jc w:val="center"/>
              <w:rPr>
                <w:b/>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296FEF7D" w14:textId="77777777" w:rsidR="009932D5" w:rsidRDefault="009932D5" w:rsidP="006B6569">
            <w:pPr>
              <w:spacing w:after="0"/>
              <w:jc w:val="center"/>
              <w:rPr>
                <w:b/>
                <w:sz w:val="28"/>
                <w:szCs w:val="28"/>
              </w:rPr>
            </w:pPr>
          </w:p>
        </w:tc>
        <w:tc>
          <w:tcPr>
            <w:tcW w:w="1620" w:type="dxa"/>
            <w:tcBorders>
              <w:top w:val="single" w:sz="4" w:space="0" w:color="000000"/>
              <w:left w:val="single" w:sz="4" w:space="0" w:color="000000"/>
              <w:bottom w:val="single" w:sz="4" w:space="0" w:color="000000"/>
              <w:right w:val="single" w:sz="4" w:space="0" w:color="000000"/>
            </w:tcBorders>
          </w:tcPr>
          <w:p w14:paraId="7194DBDC" w14:textId="77777777" w:rsidR="009932D5" w:rsidRDefault="009932D5" w:rsidP="006B6569">
            <w:pPr>
              <w:spacing w:after="0"/>
              <w:jc w:val="center"/>
              <w:rPr>
                <w:b/>
                <w:sz w:val="28"/>
                <w:szCs w:val="28"/>
              </w:rPr>
            </w:pPr>
          </w:p>
        </w:tc>
        <w:tc>
          <w:tcPr>
            <w:tcW w:w="3330" w:type="dxa"/>
            <w:tcBorders>
              <w:top w:val="single" w:sz="4" w:space="0" w:color="000000"/>
              <w:left w:val="single" w:sz="4" w:space="0" w:color="000000"/>
              <w:bottom w:val="single" w:sz="4" w:space="0" w:color="000000"/>
              <w:right w:val="single" w:sz="4" w:space="0" w:color="000000"/>
            </w:tcBorders>
          </w:tcPr>
          <w:p w14:paraId="769D0D3C" w14:textId="77777777" w:rsidR="009932D5" w:rsidRDefault="009932D5" w:rsidP="006B6569">
            <w:pPr>
              <w:spacing w:after="0"/>
              <w:jc w:val="center"/>
              <w:rPr>
                <w:b/>
                <w:sz w:val="28"/>
                <w:szCs w:val="28"/>
              </w:rPr>
            </w:pPr>
          </w:p>
        </w:tc>
        <w:tc>
          <w:tcPr>
            <w:tcW w:w="1638" w:type="dxa"/>
            <w:tcBorders>
              <w:top w:val="single" w:sz="4" w:space="0" w:color="000000"/>
              <w:left w:val="single" w:sz="4" w:space="0" w:color="000000"/>
              <w:bottom w:val="single" w:sz="4" w:space="0" w:color="000000"/>
              <w:right w:val="single" w:sz="4" w:space="0" w:color="000000"/>
            </w:tcBorders>
          </w:tcPr>
          <w:p w14:paraId="54CD245A" w14:textId="77777777" w:rsidR="009932D5" w:rsidRDefault="009932D5" w:rsidP="006B6569">
            <w:pPr>
              <w:spacing w:after="0"/>
              <w:jc w:val="center"/>
              <w:rPr>
                <w:b/>
                <w:sz w:val="28"/>
                <w:szCs w:val="28"/>
              </w:rPr>
            </w:pPr>
          </w:p>
        </w:tc>
      </w:tr>
    </w:tbl>
    <w:p w14:paraId="0A6959E7" w14:textId="77777777" w:rsidR="009932D5" w:rsidRDefault="009932D5" w:rsidP="009932D5">
      <w:pPr>
        <w:spacing w:line="240" w:lineRule="auto"/>
      </w:pPr>
      <w:r>
        <w:t xml:space="preserve"> </w:t>
      </w:r>
    </w:p>
    <w:p w14:paraId="1231BE67" w14:textId="77777777" w:rsidR="004759C0" w:rsidRDefault="004759C0" w:rsidP="009932D5">
      <w:pPr>
        <w:spacing w:after="20" w:line="240" w:lineRule="auto"/>
      </w:pPr>
    </w:p>
    <w:sectPr w:rsidR="004759C0" w:rsidSect="000E0C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5EF5" w14:textId="77777777" w:rsidR="003D6AD7" w:rsidRDefault="003D6AD7">
      <w:pPr>
        <w:spacing w:after="0" w:line="240" w:lineRule="auto"/>
      </w:pPr>
      <w:r>
        <w:separator/>
      </w:r>
    </w:p>
  </w:endnote>
  <w:endnote w:type="continuationSeparator" w:id="0">
    <w:p w14:paraId="5D5FC01E" w14:textId="77777777" w:rsidR="003D6AD7" w:rsidRDefault="003D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2A0C" w14:textId="77777777" w:rsidR="003D6AD7" w:rsidRDefault="003D6AD7">
      <w:pPr>
        <w:spacing w:after="0" w:line="240" w:lineRule="auto"/>
      </w:pPr>
      <w:r>
        <w:separator/>
      </w:r>
    </w:p>
  </w:footnote>
  <w:footnote w:type="continuationSeparator" w:id="0">
    <w:p w14:paraId="72738E61" w14:textId="77777777" w:rsidR="003D6AD7" w:rsidRDefault="003D6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428"/>
    <w:multiLevelType w:val="hybridMultilevel"/>
    <w:tmpl w:val="A57AC2AC"/>
    <w:lvl w:ilvl="0" w:tplc="021C69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56E9B"/>
    <w:multiLevelType w:val="hybridMultilevel"/>
    <w:tmpl w:val="A7D4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017EDC"/>
    <w:multiLevelType w:val="hybridMultilevel"/>
    <w:tmpl w:val="1BEEF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7F2627E2"/>
    <w:multiLevelType w:val="hybridMultilevel"/>
    <w:tmpl w:val="AAC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9838065">
    <w:abstractNumId w:val="2"/>
  </w:num>
  <w:num w:numId="2" w16cid:durableId="87237059">
    <w:abstractNumId w:val="1"/>
  </w:num>
  <w:num w:numId="3" w16cid:durableId="195512792">
    <w:abstractNumId w:val="4"/>
  </w:num>
  <w:num w:numId="4" w16cid:durableId="401029180">
    <w:abstractNumId w:val="3"/>
  </w:num>
  <w:num w:numId="5" w16cid:durableId="99981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95"/>
    <w:rsid w:val="000403DE"/>
    <w:rsid w:val="00081A79"/>
    <w:rsid w:val="000E0C95"/>
    <w:rsid w:val="00222B59"/>
    <w:rsid w:val="00236847"/>
    <w:rsid w:val="002E757B"/>
    <w:rsid w:val="003D6AD7"/>
    <w:rsid w:val="004759C0"/>
    <w:rsid w:val="004A00EE"/>
    <w:rsid w:val="00564B33"/>
    <w:rsid w:val="005E16BB"/>
    <w:rsid w:val="00625AFA"/>
    <w:rsid w:val="00660D24"/>
    <w:rsid w:val="006B6569"/>
    <w:rsid w:val="00721AEC"/>
    <w:rsid w:val="0074443F"/>
    <w:rsid w:val="00744A1F"/>
    <w:rsid w:val="007E01E5"/>
    <w:rsid w:val="007F419A"/>
    <w:rsid w:val="0084142F"/>
    <w:rsid w:val="0085501B"/>
    <w:rsid w:val="00877B38"/>
    <w:rsid w:val="008C3B86"/>
    <w:rsid w:val="008F6A55"/>
    <w:rsid w:val="009932D5"/>
    <w:rsid w:val="009B4878"/>
    <w:rsid w:val="00A84A8C"/>
    <w:rsid w:val="00AA3E22"/>
    <w:rsid w:val="00B1291E"/>
    <w:rsid w:val="00C30F3F"/>
    <w:rsid w:val="00CA28AA"/>
    <w:rsid w:val="00D36081"/>
    <w:rsid w:val="00D9623B"/>
    <w:rsid w:val="00E904D8"/>
    <w:rsid w:val="00F2426E"/>
    <w:rsid w:val="00F4572A"/>
    <w:rsid w:val="00F86D02"/>
    <w:rsid w:val="00F93D6F"/>
    <w:rsid w:val="023326E0"/>
    <w:rsid w:val="3D50F028"/>
    <w:rsid w:val="7586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83D7"/>
  <w15:chartTrackingRefBased/>
  <w15:docId w15:val="{8E96A481-64FE-4DB3-ACB8-9C17CCF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0C95"/>
    <w:rPr>
      <w:color w:val="0000EE"/>
      <w:u w:val="single"/>
    </w:rPr>
  </w:style>
  <w:style w:type="character" w:styleId="FollowedHyperlink">
    <w:name w:val="FollowedHyperlink"/>
    <w:uiPriority w:val="99"/>
    <w:semiHidden/>
    <w:unhideWhenUsed/>
    <w:rsid w:val="000E0C95"/>
    <w:rPr>
      <w:color w:val="800080"/>
      <w:u w:val="single"/>
    </w:rPr>
  </w:style>
  <w:style w:type="table" w:styleId="TableGrid">
    <w:name w:val="Table Grid"/>
    <w:basedOn w:val="TableNormal"/>
    <w:uiPriority w:val="59"/>
    <w:rsid w:val="009B48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22B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948</Words>
  <Characters>5407</Characters>
  <Application>Microsoft Office Word</Application>
  <DocSecurity>0</DocSecurity>
  <Lines>45</Lines>
  <Paragraphs>12</Paragraphs>
  <ScaleCrop>false</ScaleCrop>
  <Company>OESO - DUHS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Nanomaterials SOP template</dc:title>
  <dc:subject/>
  <dc:creator>Courtney Stanion</dc:creator>
  <cp:keywords>nanomaterials, nanoparticles, nano</cp:keywords>
  <cp:lastModifiedBy>Gina Gallian Oubrar</cp:lastModifiedBy>
  <cp:revision>8</cp:revision>
  <cp:lastPrinted>2019-04-01T18:45:00Z</cp:lastPrinted>
  <dcterms:created xsi:type="dcterms:W3CDTF">2020-12-22T15:06:00Z</dcterms:created>
  <dcterms:modified xsi:type="dcterms:W3CDTF">2023-02-27T19:17:00Z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